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01D0" w14:textId="77777777" w:rsidR="004E2C4C" w:rsidRPr="004E2C4C" w:rsidRDefault="004E2C4C" w:rsidP="004E2C4C">
      <w:pPr>
        <w:pStyle w:val="Title"/>
        <w:rPr>
          <w:rFonts w:asciiTheme="minorHAnsi" w:hAnsiTheme="minorHAnsi" w:cstheme="minorHAnsi"/>
          <w:color w:val="auto"/>
          <w:sz w:val="24"/>
          <w:szCs w:val="24"/>
        </w:rPr>
      </w:pPr>
      <w:r w:rsidRPr="004E2C4C">
        <w:rPr>
          <w:rFonts w:asciiTheme="minorHAnsi" w:hAnsiTheme="minorHAnsi" w:cstheme="minorHAnsi"/>
          <w:color w:val="auto"/>
          <w:sz w:val="24"/>
          <w:szCs w:val="24"/>
        </w:rPr>
        <w:t>NONDISCLOSURE AGREEMENT</w:t>
      </w:r>
    </w:p>
    <w:p w14:paraId="2CB851C5" w14:textId="318F6788" w:rsidR="004E2C4C" w:rsidRDefault="004E2C4C" w:rsidP="004E2C4C">
      <w:pPr>
        <w:rPr>
          <w:rFonts w:asciiTheme="minorHAnsi" w:hAnsiTheme="minorHAnsi" w:cstheme="minorHAnsi"/>
          <w:color w:val="auto"/>
          <w:sz w:val="22"/>
          <w:szCs w:val="22"/>
        </w:rPr>
      </w:pPr>
      <w:bookmarkStart w:id="0" w:name="_gjdgxs" w:colFirst="0" w:colLast="0"/>
      <w:bookmarkEnd w:id="0"/>
      <w:r w:rsidRPr="004E2C4C">
        <w:rPr>
          <w:rFonts w:asciiTheme="minorHAnsi" w:hAnsiTheme="minorHAnsi" w:cstheme="minorHAnsi"/>
          <w:color w:val="auto"/>
          <w:sz w:val="22"/>
          <w:szCs w:val="22"/>
        </w:rPr>
        <w:t>This Nondisclosure Agreement (this “</w:t>
      </w:r>
      <w:r w:rsidRPr="004E2C4C">
        <w:rPr>
          <w:rFonts w:asciiTheme="minorHAnsi" w:hAnsiTheme="minorHAnsi" w:cstheme="minorHAnsi"/>
          <w:b/>
          <w:color w:val="auto"/>
          <w:sz w:val="22"/>
          <w:szCs w:val="22"/>
        </w:rPr>
        <w:t>Agreement</w:t>
      </w:r>
      <w:r w:rsidRPr="004E2C4C">
        <w:rPr>
          <w:rFonts w:asciiTheme="minorHAnsi" w:hAnsiTheme="minorHAnsi" w:cstheme="minorHAnsi"/>
          <w:color w:val="auto"/>
          <w:sz w:val="22"/>
          <w:szCs w:val="22"/>
        </w:rPr>
        <w:t xml:space="preserve">”) is entered into as of </w:t>
      </w:r>
      <w:r w:rsidRPr="004E2C4C">
        <w:rPr>
          <w:rFonts w:asciiTheme="minorHAnsi" w:hAnsiTheme="minorHAnsi" w:cstheme="minorHAnsi"/>
          <w:color w:val="000000" w:themeColor="text1"/>
          <w:sz w:val="22"/>
          <w:szCs w:val="22"/>
        </w:rPr>
        <w:fldChar w:fldCharType="begin"/>
      </w:r>
      <w:r w:rsidRPr="004E2C4C">
        <w:rPr>
          <w:rFonts w:asciiTheme="minorHAnsi" w:hAnsiTheme="minorHAnsi" w:cstheme="minorHAnsi"/>
          <w:color w:val="000000" w:themeColor="text1"/>
          <w:sz w:val="22"/>
          <w:szCs w:val="22"/>
        </w:rPr>
        <w:instrText xml:space="preserve"> DATE \@ "M/d/yyyy" </w:instrText>
      </w:r>
      <w:r w:rsidRPr="004E2C4C">
        <w:rPr>
          <w:rFonts w:asciiTheme="minorHAnsi" w:hAnsiTheme="minorHAnsi" w:cstheme="minorHAnsi"/>
          <w:color w:val="000000" w:themeColor="text1"/>
          <w:sz w:val="22"/>
          <w:szCs w:val="22"/>
        </w:rPr>
        <w:fldChar w:fldCharType="separate"/>
      </w:r>
      <w:r w:rsidR="00430971">
        <w:rPr>
          <w:rFonts w:asciiTheme="minorHAnsi" w:hAnsiTheme="minorHAnsi" w:cstheme="minorHAnsi"/>
          <w:noProof/>
          <w:color w:val="000000" w:themeColor="text1"/>
          <w:sz w:val="22"/>
          <w:szCs w:val="22"/>
        </w:rPr>
        <w:t>7/24/2024</w:t>
      </w:r>
      <w:r w:rsidRPr="004E2C4C">
        <w:rPr>
          <w:rFonts w:asciiTheme="minorHAnsi" w:hAnsiTheme="minorHAnsi" w:cstheme="minorHAnsi"/>
          <w:color w:val="000000" w:themeColor="text1"/>
          <w:sz w:val="22"/>
          <w:szCs w:val="22"/>
        </w:rPr>
        <w:fldChar w:fldCharType="end"/>
      </w:r>
      <w:r w:rsidRPr="004E2C4C">
        <w:rPr>
          <w:rFonts w:asciiTheme="minorHAnsi" w:hAnsiTheme="minorHAnsi" w:cstheme="minorHAnsi"/>
          <w:color w:val="000000" w:themeColor="text1"/>
          <w:sz w:val="22"/>
          <w:szCs w:val="22"/>
        </w:rPr>
        <w:t xml:space="preserve"> </w:t>
      </w:r>
      <w:r w:rsidRPr="004E2C4C">
        <w:rPr>
          <w:rFonts w:asciiTheme="minorHAnsi" w:hAnsiTheme="minorHAnsi" w:cstheme="minorHAnsi"/>
          <w:color w:val="auto"/>
          <w:sz w:val="22"/>
          <w:szCs w:val="22"/>
        </w:rPr>
        <w:t xml:space="preserve">by and between </w:t>
      </w:r>
      <w:r>
        <w:rPr>
          <w:rFonts w:asciiTheme="minorHAnsi" w:hAnsiTheme="minorHAnsi" w:cstheme="minorHAnsi"/>
          <w:color w:val="auto"/>
          <w:sz w:val="22"/>
          <w:szCs w:val="22"/>
        </w:rPr>
        <w:t>Conga</w:t>
      </w:r>
      <w:r w:rsidRPr="004E2C4C">
        <w:rPr>
          <w:rFonts w:asciiTheme="minorHAnsi" w:hAnsiTheme="minorHAnsi" w:cstheme="minorHAnsi"/>
          <w:color w:val="auto"/>
          <w:sz w:val="22"/>
          <w:szCs w:val="22"/>
        </w:rPr>
        <w:t>, a Delaware corporation (“</w:t>
      </w:r>
      <w:r>
        <w:rPr>
          <w:rFonts w:asciiTheme="minorHAnsi" w:hAnsiTheme="minorHAnsi" w:cstheme="minorHAnsi"/>
          <w:b/>
          <w:color w:val="auto"/>
          <w:sz w:val="22"/>
          <w:szCs w:val="22"/>
        </w:rPr>
        <w:t>Conga</w:t>
      </w:r>
      <w:r w:rsidRPr="004E2C4C">
        <w:rPr>
          <w:rFonts w:asciiTheme="minorHAnsi" w:hAnsiTheme="minorHAnsi" w:cstheme="minorHAnsi"/>
          <w:color w:val="auto"/>
          <w:sz w:val="22"/>
          <w:szCs w:val="22"/>
        </w:rPr>
        <w:t xml:space="preserve">”), and </w:t>
      </w:r>
      <w:r w:rsidR="000F0046">
        <w:rPr>
          <w:rFonts w:asciiTheme="minorHAnsi" w:hAnsiTheme="minorHAnsi" w:cstheme="minorHAnsi"/>
          <w:sz w:val="22"/>
          <w:szCs w:val="22"/>
          <w:shd w:val="clear" w:color="auto" w:fill="FFFFFF"/>
        </w:rPr>
        <w:t>BlueCube, Inc.</w:t>
      </w:r>
      <w:r w:rsidRPr="004E2C4C">
        <w:rPr>
          <w:rFonts w:asciiTheme="minorHAnsi" w:hAnsiTheme="minorHAnsi" w:cstheme="minorHAnsi"/>
          <w:sz w:val="22"/>
          <w:szCs w:val="22"/>
          <w:shd w:val="clear" w:color="auto" w:fill="FFFFFF"/>
        </w:rPr>
        <w:t xml:space="preserve"> </w:t>
      </w:r>
      <w:r w:rsidRPr="004E2C4C">
        <w:rPr>
          <w:rFonts w:asciiTheme="minorHAnsi" w:hAnsiTheme="minorHAnsi" w:cstheme="minorHAnsi"/>
          <w:color w:val="auto"/>
          <w:sz w:val="22"/>
          <w:szCs w:val="22"/>
        </w:rPr>
        <w:t>(“</w:t>
      </w:r>
      <w:r w:rsidRPr="004E2C4C">
        <w:rPr>
          <w:rFonts w:asciiTheme="minorHAnsi" w:hAnsiTheme="minorHAnsi" w:cstheme="minorHAnsi"/>
          <w:b/>
          <w:color w:val="auto"/>
          <w:sz w:val="22"/>
          <w:szCs w:val="22"/>
        </w:rPr>
        <w:t>Receiving Party</w:t>
      </w:r>
      <w:r w:rsidRPr="004E2C4C">
        <w:rPr>
          <w:rFonts w:asciiTheme="minorHAnsi" w:hAnsiTheme="minorHAnsi" w:cstheme="minorHAnsi"/>
          <w:color w:val="auto"/>
          <w:sz w:val="22"/>
          <w:szCs w:val="22"/>
        </w:rPr>
        <w:t>”).</w:t>
      </w:r>
    </w:p>
    <w:p w14:paraId="249BB00E" w14:textId="77777777" w:rsidR="004E2C4C" w:rsidRPr="004E2C4C" w:rsidRDefault="004E2C4C" w:rsidP="004E2C4C">
      <w:pPr>
        <w:rPr>
          <w:rFonts w:asciiTheme="minorHAnsi" w:hAnsiTheme="minorHAnsi" w:cstheme="minorHAnsi"/>
          <w:color w:val="auto"/>
          <w:sz w:val="22"/>
          <w:szCs w:val="22"/>
        </w:rPr>
      </w:pPr>
    </w:p>
    <w:p w14:paraId="3625B7CD" w14:textId="27356E07" w:rsidR="004E2C4C" w:rsidRPr="004E2C4C" w:rsidRDefault="004E2C4C" w:rsidP="004E2C4C">
      <w:pPr>
        <w:pStyle w:val="Heading1"/>
        <w:numPr>
          <w:ilvl w:val="0"/>
          <w:numId w:val="1"/>
        </w:numPr>
        <w:rPr>
          <w:rFonts w:asciiTheme="minorHAnsi" w:hAnsiTheme="minorHAnsi" w:cstheme="minorHAnsi"/>
          <w:color w:val="auto"/>
        </w:rPr>
      </w:pPr>
      <w:r w:rsidRPr="004E2C4C">
        <w:rPr>
          <w:rFonts w:asciiTheme="minorHAnsi" w:hAnsiTheme="minorHAnsi" w:cstheme="minorHAnsi"/>
          <w:color w:val="auto"/>
          <w:u w:val="single"/>
        </w:rPr>
        <w:t>Proprietary Information</w:t>
      </w:r>
      <w:r w:rsidRPr="004E2C4C">
        <w:rPr>
          <w:rFonts w:asciiTheme="minorHAnsi" w:hAnsiTheme="minorHAnsi" w:cstheme="minorHAnsi"/>
          <w:color w:val="auto"/>
        </w:rPr>
        <w:t xml:space="preserve">. The Receiving Party understands that </w:t>
      </w:r>
      <w:r w:rsidR="000F0046">
        <w:rPr>
          <w:rFonts w:asciiTheme="minorHAnsi" w:hAnsiTheme="minorHAnsi" w:cstheme="minorHAnsi"/>
          <w:color w:val="auto"/>
        </w:rPr>
        <w:t>Conga</w:t>
      </w:r>
      <w:r w:rsidRPr="004E2C4C" w:rsidDel="00CC7A69">
        <w:rPr>
          <w:rFonts w:asciiTheme="minorHAnsi" w:hAnsiTheme="minorHAnsi" w:cstheme="minorHAnsi"/>
          <w:color w:val="auto"/>
        </w:rPr>
        <w:t xml:space="preserve"> </w:t>
      </w:r>
      <w:r w:rsidRPr="004E2C4C">
        <w:rPr>
          <w:rFonts w:asciiTheme="minorHAnsi" w:hAnsiTheme="minorHAnsi" w:cstheme="minorHAnsi"/>
          <w:color w:val="auto"/>
        </w:rPr>
        <w:t xml:space="preserve">has disclosed or may disclose information relating to its products, prototypes or potential products and the properties, composition, structure or manufacture or processing thereof, or to </w:t>
      </w:r>
      <w:r w:rsidR="000F0046">
        <w:rPr>
          <w:rFonts w:asciiTheme="minorHAnsi" w:hAnsiTheme="minorHAnsi" w:cstheme="minorHAnsi"/>
          <w:color w:val="auto"/>
        </w:rPr>
        <w:t>Conga</w:t>
      </w:r>
      <w:r w:rsidRPr="004E2C4C">
        <w:rPr>
          <w:rFonts w:asciiTheme="minorHAnsi" w:hAnsiTheme="minorHAnsi" w:cstheme="minorHAnsi"/>
          <w:color w:val="auto"/>
        </w:rPr>
        <w:t>’s business (including, without limitation, formulas, processes, technical drawings, algorithms, names and expertise of employees and consultants, know-how, ideas, trade secrets, inventions (whether patentable or not), schematics and other technical, business, financial, customer and product development plans, forecasts, strategies and information), which to the extent previously, presently or subsequently disclosed to the Receiving Party is hereinafter referred to as “</w:t>
      </w:r>
      <w:r w:rsidRPr="004E2C4C">
        <w:rPr>
          <w:rFonts w:asciiTheme="minorHAnsi" w:hAnsiTheme="minorHAnsi" w:cstheme="minorHAnsi"/>
          <w:color w:val="auto"/>
          <w:u w:val="single"/>
        </w:rPr>
        <w:t>Proprietary Information</w:t>
      </w:r>
      <w:r w:rsidRPr="004E2C4C">
        <w:rPr>
          <w:rFonts w:asciiTheme="minorHAnsi" w:hAnsiTheme="minorHAnsi" w:cstheme="minorHAnsi"/>
          <w:color w:val="auto"/>
        </w:rPr>
        <w:t xml:space="preserve">”. “Proprietary Information” also includes the manner in which any such information may be combined with other information, or synthesized or used by </w:t>
      </w:r>
      <w:r w:rsidR="000F0046">
        <w:rPr>
          <w:rFonts w:asciiTheme="minorHAnsi" w:hAnsiTheme="minorHAnsi" w:cstheme="minorHAnsi"/>
          <w:color w:val="auto"/>
        </w:rPr>
        <w:t>Conga</w:t>
      </w:r>
      <w:r w:rsidRPr="004E2C4C">
        <w:rPr>
          <w:rFonts w:asciiTheme="minorHAnsi" w:hAnsiTheme="minorHAnsi" w:cstheme="minorHAnsi"/>
          <w:color w:val="auto"/>
        </w:rPr>
        <w:t>.</w:t>
      </w:r>
    </w:p>
    <w:p w14:paraId="60090704" w14:textId="77777777" w:rsidR="004E2C4C" w:rsidRPr="004E2C4C" w:rsidRDefault="004E2C4C" w:rsidP="004E2C4C">
      <w:pPr>
        <w:pStyle w:val="Heading1"/>
        <w:numPr>
          <w:ilvl w:val="0"/>
          <w:numId w:val="1"/>
        </w:numPr>
        <w:rPr>
          <w:rFonts w:asciiTheme="minorHAnsi" w:hAnsiTheme="minorHAnsi" w:cstheme="minorHAnsi"/>
          <w:color w:val="auto"/>
        </w:rPr>
      </w:pPr>
      <w:r w:rsidRPr="004E2C4C">
        <w:rPr>
          <w:rFonts w:asciiTheme="minorHAnsi" w:hAnsiTheme="minorHAnsi" w:cstheme="minorHAnsi"/>
          <w:color w:val="auto"/>
          <w:u w:val="single"/>
        </w:rPr>
        <w:t>Restrictions</w:t>
      </w:r>
      <w:r w:rsidRPr="004E2C4C">
        <w:rPr>
          <w:rFonts w:asciiTheme="minorHAnsi" w:hAnsiTheme="minorHAnsi" w:cstheme="minorHAnsi"/>
          <w:color w:val="auto"/>
        </w:rPr>
        <w:t>. In consideration of the parties’ discussions and any access the Receiving Party may have to Proprietary Information, the Receiving Party hereby agrees:</w:t>
      </w:r>
    </w:p>
    <w:p w14:paraId="555F1299" w14:textId="77777777" w:rsidR="004E2C4C" w:rsidRPr="004E2C4C" w:rsidRDefault="004E2C4C" w:rsidP="004E2C4C">
      <w:pPr>
        <w:pStyle w:val="Heading2"/>
        <w:numPr>
          <w:ilvl w:val="1"/>
          <w:numId w:val="1"/>
        </w:numPr>
        <w:rPr>
          <w:rFonts w:asciiTheme="minorHAnsi" w:hAnsiTheme="minorHAnsi" w:cstheme="minorHAnsi"/>
          <w:color w:val="auto"/>
        </w:rPr>
      </w:pPr>
      <w:r w:rsidRPr="004E2C4C">
        <w:rPr>
          <w:rFonts w:asciiTheme="minorHAnsi" w:hAnsiTheme="minorHAnsi" w:cstheme="minorHAnsi"/>
          <w:color w:val="auto"/>
        </w:rPr>
        <w:t>to hold the Proprietary Information in strict confidence and to take all reasonable precautions to protect such Proprietary Information (including, without limitation, all precautions the Receiving Party employs with respect to its confidential materials);</w:t>
      </w:r>
    </w:p>
    <w:p w14:paraId="3B5951DF" w14:textId="77777777" w:rsidR="004E2C4C" w:rsidRPr="004E2C4C" w:rsidRDefault="004E2C4C" w:rsidP="004E2C4C">
      <w:pPr>
        <w:pStyle w:val="Heading2"/>
        <w:numPr>
          <w:ilvl w:val="1"/>
          <w:numId w:val="1"/>
        </w:numPr>
        <w:rPr>
          <w:rFonts w:asciiTheme="minorHAnsi" w:hAnsiTheme="minorHAnsi" w:cstheme="minorHAnsi"/>
          <w:color w:val="auto"/>
        </w:rPr>
      </w:pPr>
      <w:r w:rsidRPr="004E2C4C">
        <w:rPr>
          <w:rFonts w:asciiTheme="minorHAnsi" w:hAnsiTheme="minorHAnsi" w:cstheme="minorHAnsi"/>
          <w:color w:val="auto"/>
        </w:rPr>
        <w:t>not to divulge any Proprietary Information or any information derived therefrom to any third person (except consultants and legal and financial advisors, subject to the conditions stated below);</w:t>
      </w:r>
    </w:p>
    <w:p w14:paraId="6CA6AD21" w14:textId="268BBA90" w:rsidR="004E2C4C" w:rsidRPr="004E2C4C" w:rsidRDefault="004E2C4C" w:rsidP="004E2C4C">
      <w:pPr>
        <w:pStyle w:val="Heading2"/>
        <w:numPr>
          <w:ilvl w:val="1"/>
          <w:numId w:val="1"/>
        </w:numPr>
        <w:rPr>
          <w:rFonts w:asciiTheme="minorHAnsi" w:hAnsiTheme="minorHAnsi" w:cstheme="minorHAnsi"/>
          <w:color w:val="auto"/>
        </w:rPr>
      </w:pPr>
      <w:r w:rsidRPr="004E2C4C">
        <w:rPr>
          <w:rFonts w:asciiTheme="minorHAnsi" w:hAnsiTheme="minorHAnsi" w:cstheme="minorHAnsi"/>
          <w:color w:val="auto"/>
        </w:rPr>
        <w:t xml:space="preserve">not to make any use whatsoever at any time of Proprietary Information except to evaluate internally whether or not to enter into the business arrangements between </w:t>
      </w:r>
      <w:r w:rsidR="000F0046">
        <w:rPr>
          <w:rFonts w:asciiTheme="minorHAnsi" w:hAnsiTheme="minorHAnsi" w:cstheme="minorHAnsi"/>
          <w:color w:val="auto"/>
        </w:rPr>
        <w:t>Conga</w:t>
      </w:r>
      <w:r w:rsidRPr="004E2C4C">
        <w:rPr>
          <w:rFonts w:asciiTheme="minorHAnsi" w:hAnsiTheme="minorHAnsi" w:cstheme="minorHAnsi"/>
          <w:color w:val="auto"/>
        </w:rPr>
        <w:t xml:space="preserve"> and the Receiving Party (the “</w:t>
      </w:r>
      <w:r w:rsidRPr="004E2C4C">
        <w:rPr>
          <w:rFonts w:asciiTheme="minorHAnsi" w:hAnsiTheme="minorHAnsi" w:cstheme="minorHAnsi"/>
          <w:b/>
          <w:color w:val="auto"/>
        </w:rPr>
        <w:t>Authorized Purpose</w:t>
      </w:r>
      <w:r w:rsidRPr="004E2C4C">
        <w:rPr>
          <w:rFonts w:asciiTheme="minorHAnsi" w:hAnsiTheme="minorHAnsi" w:cstheme="minorHAnsi"/>
          <w:color w:val="auto"/>
        </w:rPr>
        <w:t>”);</w:t>
      </w:r>
    </w:p>
    <w:p w14:paraId="514CB204" w14:textId="77777777" w:rsidR="004E2C4C" w:rsidRPr="004E2C4C" w:rsidRDefault="004E2C4C" w:rsidP="004E2C4C">
      <w:pPr>
        <w:pStyle w:val="Heading2"/>
        <w:numPr>
          <w:ilvl w:val="1"/>
          <w:numId w:val="1"/>
        </w:numPr>
        <w:rPr>
          <w:rFonts w:asciiTheme="minorHAnsi" w:hAnsiTheme="minorHAnsi" w:cstheme="minorHAnsi"/>
          <w:color w:val="auto"/>
        </w:rPr>
      </w:pPr>
      <w:r w:rsidRPr="004E2C4C">
        <w:rPr>
          <w:rFonts w:asciiTheme="minorHAnsi" w:hAnsiTheme="minorHAnsi" w:cstheme="minorHAnsi"/>
          <w:color w:val="auto"/>
        </w:rPr>
        <w:t>not to reverse engineer, decompile or disassemble any Proprietary Information or otherwise attempt to derive the underlying ideas, algorithms, structure, organization or source code thereof.</w:t>
      </w:r>
    </w:p>
    <w:p w14:paraId="06561401" w14:textId="0782D022" w:rsidR="004E2C4C" w:rsidRPr="004E2C4C" w:rsidRDefault="004E2C4C" w:rsidP="004E2C4C">
      <w:pPr>
        <w:pStyle w:val="Heading2"/>
        <w:rPr>
          <w:rFonts w:asciiTheme="minorHAnsi" w:hAnsiTheme="minorHAnsi" w:cstheme="minorHAnsi"/>
          <w:color w:val="auto"/>
        </w:rPr>
      </w:pPr>
      <w:r w:rsidRPr="004E2C4C">
        <w:rPr>
          <w:rFonts w:asciiTheme="minorHAnsi" w:hAnsiTheme="minorHAnsi" w:cstheme="minorHAnsi"/>
          <w:color w:val="auto"/>
        </w:rPr>
        <w:t xml:space="preserve">Any employee, consultant, or legal or financial advisor given access to any Proprietary Information must have a legitimate “need to know” for the purpose stated above, and shall be similarly bound in writing or subject to a legally-enforceable professional obligation of confidentiality. Without granting any right or license, </w:t>
      </w:r>
      <w:r w:rsidR="000F0046">
        <w:rPr>
          <w:rFonts w:asciiTheme="minorHAnsi" w:hAnsiTheme="minorHAnsi" w:cstheme="minorHAnsi"/>
          <w:color w:val="auto"/>
        </w:rPr>
        <w:t>Conga</w:t>
      </w:r>
      <w:r w:rsidRPr="004E2C4C">
        <w:rPr>
          <w:rFonts w:asciiTheme="minorHAnsi" w:hAnsiTheme="minorHAnsi" w:cstheme="minorHAnsi"/>
          <w:color w:val="auto"/>
        </w:rPr>
        <w:t xml:space="preserve"> agrees that the foregoing clauses (i), (ii), (iii), and (v) shall not apply with respect to any information that the Receiving Party can document (A) is or (through no improper action or inaction by the Receiving Party or any affiliate, agent, consultant or employee) becomes generally available to the public, or (B) was properly in its possession or known by it, without restriction, prior to receipt from </w:t>
      </w:r>
      <w:r w:rsidR="000F0046">
        <w:rPr>
          <w:rFonts w:asciiTheme="minorHAnsi" w:hAnsiTheme="minorHAnsi" w:cstheme="minorHAnsi"/>
          <w:color w:val="auto"/>
        </w:rPr>
        <w:t>Conga</w:t>
      </w:r>
      <w:r w:rsidRPr="004E2C4C">
        <w:rPr>
          <w:rFonts w:asciiTheme="minorHAnsi" w:hAnsiTheme="minorHAnsi" w:cstheme="minorHAnsi"/>
          <w:color w:val="auto"/>
        </w:rPr>
        <w:t>, or (C) was rightfully disclosed to it by a third party, provided the Receiving Party complies with restrictions imposed by the third party, or (D) was independently developed, without use of any Proprietary Information, by employees of the Receiving Party who have had no access to such information.</w:t>
      </w: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3397"/>
        <w:gridCol w:w="1283"/>
        <w:gridCol w:w="4272"/>
      </w:tblGrid>
      <w:tr w:rsidR="004E2C4C" w:rsidRPr="004E2C4C" w14:paraId="47AA8D2E" w14:textId="77777777" w:rsidTr="00193F5A">
        <w:trPr>
          <w:cantSplit/>
          <w:trHeight w:val="264"/>
        </w:trPr>
        <w:tc>
          <w:tcPr>
            <w:tcW w:w="4675" w:type="dxa"/>
            <w:gridSpan w:val="2"/>
            <w:tcBorders>
              <w:top w:val="single" w:sz="4" w:space="0" w:color="423DCE"/>
              <w:left w:val="single" w:sz="4" w:space="0" w:color="423DCE"/>
              <w:bottom w:val="nil"/>
              <w:right w:val="single" w:sz="4" w:space="0" w:color="423DCE"/>
            </w:tcBorders>
            <w:shd w:val="clear" w:color="auto" w:fill="423DCE"/>
            <w:vAlign w:val="center"/>
          </w:tcPr>
          <w:p w14:paraId="78DAAFC9" w14:textId="11950001" w:rsidR="004E2C4C" w:rsidRPr="004E2C4C" w:rsidRDefault="000F0046" w:rsidP="004E2C4C">
            <w:pPr>
              <w:rPr>
                <w:rFonts w:asciiTheme="minorHAnsi" w:hAnsiTheme="minorHAnsi" w:cstheme="minorHAnsi"/>
                <w:b/>
                <w:color w:val="FFFFFF" w:themeColor="background1"/>
              </w:rPr>
            </w:pPr>
            <w:r>
              <w:rPr>
                <w:rFonts w:asciiTheme="minorHAnsi" w:hAnsiTheme="minorHAnsi" w:cstheme="minorHAnsi"/>
                <w:b/>
                <w:color w:val="FFFFFF" w:themeColor="background1"/>
              </w:rPr>
              <w:t>BlueCube, Inc.</w:t>
            </w:r>
            <w:r w:rsidR="004E2C4C" w:rsidRPr="004E2C4C">
              <w:rPr>
                <w:rFonts w:asciiTheme="minorHAnsi" w:hAnsiTheme="minorHAnsi" w:cstheme="minorHAnsi"/>
                <w:b/>
                <w:color w:val="FFFFFF" w:themeColor="background1"/>
              </w:rPr>
              <w:t xml:space="preserve"> </w:t>
            </w:r>
            <w:r w:rsidR="004E2C4C" w:rsidRPr="004E2C4C">
              <w:rPr>
                <w:rFonts w:asciiTheme="minorHAnsi" w:hAnsiTheme="minorHAnsi" w:cstheme="minorHAnsi"/>
                <w:bCs/>
                <w:color w:val="FFFFFF" w:themeColor="background1"/>
              </w:rPr>
              <w:t>(Authorized signatory only)</w:t>
            </w:r>
          </w:p>
        </w:tc>
        <w:tc>
          <w:tcPr>
            <w:tcW w:w="5555" w:type="dxa"/>
            <w:gridSpan w:val="2"/>
            <w:tcBorders>
              <w:top w:val="single" w:sz="4" w:space="0" w:color="423DCE"/>
              <w:left w:val="single" w:sz="4" w:space="0" w:color="423DCE"/>
              <w:bottom w:val="nil"/>
              <w:right w:val="single" w:sz="4" w:space="0" w:color="423DCE"/>
            </w:tcBorders>
            <w:shd w:val="clear" w:color="auto" w:fill="423DCE"/>
            <w:vAlign w:val="center"/>
          </w:tcPr>
          <w:p w14:paraId="7896AE53" w14:textId="77777777" w:rsidR="004E2C4C" w:rsidRPr="004E2C4C" w:rsidRDefault="004E2C4C" w:rsidP="004E2C4C">
            <w:pPr>
              <w:rPr>
                <w:rFonts w:asciiTheme="minorHAnsi" w:hAnsiTheme="minorHAnsi" w:cstheme="minorHAnsi"/>
                <w:b/>
                <w:color w:val="FFFFFF" w:themeColor="background1"/>
              </w:rPr>
            </w:pPr>
            <w:r w:rsidRPr="004E2C4C">
              <w:rPr>
                <w:rFonts w:asciiTheme="minorHAnsi" w:hAnsiTheme="minorHAnsi" w:cstheme="minorHAnsi"/>
                <w:b/>
                <w:bCs/>
                <w:color w:val="FFFFFF" w:themeColor="background1"/>
              </w:rPr>
              <w:t>Conga</w:t>
            </w:r>
            <w:r w:rsidRPr="004E2C4C">
              <w:rPr>
                <w:rFonts w:asciiTheme="minorHAnsi" w:hAnsiTheme="minorHAnsi" w:cstheme="minorHAnsi"/>
                <w:color w:val="FFFFFF" w:themeColor="background1"/>
              </w:rPr>
              <w:t xml:space="preserve"> (Authorized signatory only)</w:t>
            </w:r>
          </w:p>
        </w:tc>
      </w:tr>
      <w:tr w:rsidR="004E2C4C" w:rsidRPr="004E2C4C" w14:paraId="1252A5D7" w14:textId="77777777" w:rsidTr="00193F5A">
        <w:trPr>
          <w:cantSplit/>
          <w:trHeight w:val="720"/>
        </w:trPr>
        <w:tc>
          <w:tcPr>
            <w:tcW w:w="1278" w:type="dxa"/>
            <w:tcBorders>
              <w:top w:val="single" w:sz="4" w:space="0" w:color="423DCE"/>
              <w:left w:val="single" w:sz="4" w:space="0" w:color="D9D9D9"/>
              <w:bottom w:val="single" w:sz="4" w:space="0" w:color="F2F2F2"/>
              <w:right w:val="single" w:sz="4" w:space="0" w:color="F2F2F2"/>
            </w:tcBorders>
            <w:shd w:val="clear" w:color="auto" w:fill="auto"/>
            <w:vAlign w:val="center"/>
          </w:tcPr>
          <w:p w14:paraId="74F6EE42" w14:textId="77777777" w:rsidR="004E2C4C" w:rsidRPr="00E1628E" w:rsidRDefault="004E2C4C" w:rsidP="004E2C4C">
            <w:pPr>
              <w:rPr>
                <w:rFonts w:asciiTheme="minorHAnsi" w:hAnsiTheme="minorHAnsi" w:cstheme="minorHAnsi"/>
                <w:color w:val="auto"/>
                <w:sz w:val="22"/>
                <w:szCs w:val="22"/>
              </w:rPr>
            </w:pPr>
            <w:r w:rsidRPr="00E1628E">
              <w:rPr>
                <w:rFonts w:asciiTheme="minorHAnsi" w:hAnsiTheme="minorHAnsi" w:cstheme="minorHAnsi"/>
                <w:color w:val="auto"/>
                <w:sz w:val="22"/>
                <w:szCs w:val="22"/>
              </w:rPr>
              <w:t>Printed Name:</w:t>
            </w:r>
          </w:p>
        </w:tc>
        <w:tc>
          <w:tcPr>
            <w:tcW w:w="3397" w:type="dxa"/>
            <w:tcBorders>
              <w:top w:val="single" w:sz="4" w:space="0" w:color="423DCE"/>
              <w:left w:val="single" w:sz="4" w:space="0" w:color="F2F2F2"/>
              <w:bottom w:val="single" w:sz="4" w:space="0" w:color="F2F2F2"/>
              <w:right w:val="single" w:sz="4" w:space="0" w:color="F2F2F2"/>
            </w:tcBorders>
            <w:shd w:val="clear" w:color="auto" w:fill="auto"/>
            <w:vAlign w:val="center"/>
          </w:tcPr>
          <w:p w14:paraId="401F3DEE" w14:textId="5EFD4718" w:rsidR="004E2C4C" w:rsidRPr="00E1628E" w:rsidRDefault="0082040F" w:rsidP="004E2C4C">
            <w:pPr>
              <w:rPr>
                <w:rFonts w:asciiTheme="minorHAnsi" w:hAnsiTheme="minorHAnsi" w:cstheme="minorHAnsi"/>
                <w:color w:val="auto"/>
                <w:sz w:val="22"/>
                <w:szCs w:val="22"/>
              </w:rPr>
            </w:pPr>
            <w:r>
              <w:rPr>
                <w:rFonts w:asciiTheme="minorHAnsi" w:hAnsiTheme="minorHAnsi" w:cstheme="minorHAnsi"/>
                <w:color w:val="auto"/>
                <w:sz w:val="22"/>
                <w:szCs w:val="22"/>
              </w:rPr>
              <w:t>\ExternalSignature\</w:t>
            </w:r>
          </w:p>
        </w:tc>
        <w:tc>
          <w:tcPr>
            <w:tcW w:w="1283" w:type="dxa"/>
            <w:tcBorders>
              <w:top w:val="single" w:sz="4" w:space="0" w:color="423DCE"/>
              <w:left w:val="single" w:sz="4" w:space="0" w:color="F2F2F2"/>
              <w:bottom w:val="single" w:sz="4" w:space="0" w:color="F2F2F2"/>
              <w:right w:val="single" w:sz="4" w:space="0" w:color="F2F2F2"/>
            </w:tcBorders>
            <w:shd w:val="clear" w:color="auto" w:fill="auto"/>
            <w:vAlign w:val="center"/>
          </w:tcPr>
          <w:p w14:paraId="0997B94B" w14:textId="77777777" w:rsidR="004E2C4C" w:rsidRPr="00E1628E" w:rsidRDefault="004E2C4C" w:rsidP="004E2C4C">
            <w:pPr>
              <w:rPr>
                <w:rFonts w:asciiTheme="minorHAnsi" w:hAnsiTheme="minorHAnsi" w:cstheme="minorHAnsi"/>
                <w:color w:val="auto"/>
                <w:sz w:val="22"/>
                <w:szCs w:val="22"/>
              </w:rPr>
            </w:pPr>
            <w:r w:rsidRPr="00E1628E">
              <w:rPr>
                <w:rFonts w:asciiTheme="minorHAnsi" w:hAnsiTheme="minorHAnsi" w:cstheme="minorHAnsi"/>
                <w:color w:val="auto"/>
                <w:sz w:val="22"/>
                <w:szCs w:val="22"/>
              </w:rPr>
              <w:t>Printed Name:</w:t>
            </w:r>
          </w:p>
        </w:tc>
        <w:tc>
          <w:tcPr>
            <w:tcW w:w="4272" w:type="dxa"/>
            <w:tcBorders>
              <w:top w:val="single" w:sz="4" w:space="0" w:color="423DCE"/>
              <w:left w:val="single" w:sz="4" w:space="0" w:color="F2F2F2"/>
              <w:bottom w:val="single" w:sz="4" w:space="0" w:color="F2F2F2"/>
              <w:right w:val="single" w:sz="4" w:space="0" w:color="D9D9D9"/>
            </w:tcBorders>
            <w:shd w:val="clear" w:color="auto" w:fill="auto"/>
            <w:vAlign w:val="center"/>
          </w:tcPr>
          <w:p w14:paraId="1CAC1FF4" w14:textId="42C5D3AE" w:rsidR="004E2C4C" w:rsidRPr="00E1628E" w:rsidRDefault="0082040F" w:rsidP="004E2C4C">
            <w:pPr>
              <w:rPr>
                <w:rFonts w:asciiTheme="minorHAnsi" w:hAnsiTheme="minorHAnsi" w:cstheme="minorHAnsi"/>
                <w:color w:val="auto"/>
                <w:sz w:val="22"/>
                <w:szCs w:val="22"/>
              </w:rPr>
            </w:pPr>
            <w:r>
              <w:rPr>
                <w:rFonts w:asciiTheme="minorHAnsi" w:hAnsiTheme="minorHAnsi" w:cstheme="minorHAnsi"/>
                <w:color w:val="auto"/>
                <w:sz w:val="22"/>
                <w:szCs w:val="22"/>
              </w:rPr>
              <w:t>\ExternalSignDate\</w:t>
            </w:r>
          </w:p>
        </w:tc>
      </w:tr>
      <w:tr w:rsidR="004E2C4C" w:rsidRPr="004E2C4C" w14:paraId="57283B6B" w14:textId="77777777" w:rsidTr="00193F5A">
        <w:trPr>
          <w:cantSplit/>
          <w:trHeight w:val="720"/>
        </w:trPr>
        <w:tc>
          <w:tcPr>
            <w:tcW w:w="1278" w:type="dxa"/>
            <w:tcBorders>
              <w:top w:val="single" w:sz="4" w:space="0" w:color="F2F2F2"/>
              <w:left w:val="single" w:sz="4" w:space="0" w:color="D9D9D9"/>
              <w:bottom w:val="single" w:sz="4" w:space="0" w:color="F2F2F2"/>
              <w:right w:val="single" w:sz="4" w:space="0" w:color="F2F2F2"/>
            </w:tcBorders>
            <w:shd w:val="clear" w:color="auto" w:fill="auto"/>
            <w:vAlign w:val="center"/>
          </w:tcPr>
          <w:p w14:paraId="07B0E68D" w14:textId="77777777" w:rsidR="004E2C4C" w:rsidRPr="00E1628E" w:rsidRDefault="004E2C4C" w:rsidP="004E2C4C">
            <w:pPr>
              <w:rPr>
                <w:rFonts w:asciiTheme="minorHAnsi" w:hAnsiTheme="minorHAnsi" w:cstheme="minorHAnsi"/>
                <w:color w:val="auto"/>
                <w:sz w:val="22"/>
                <w:szCs w:val="22"/>
              </w:rPr>
            </w:pPr>
            <w:r w:rsidRPr="00E1628E">
              <w:rPr>
                <w:rFonts w:asciiTheme="minorHAnsi" w:hAnsiTheme="minorHAnsi" w:cstheme="minorHAnsi"/>
                <w:color w:val="auto"/>
                <w:sz w:val="22"/>
                <w:szCs w:val="22"/>
              </w:rPr>
              <w:t>Signature:</w:t>
            </w:r>
          </w:p>
        </w:tc>
        <w:tc>
          <w:tcPr>
            <w:tcW w:w="3397" w:type="dxa"/>
            <w:tcBorders>
              <w:top w:val="single" w:sz="4" w:space="0" w:color="F2F2F2"/>
              <w:left w:val="single" w:sz="4" w:space="0" w:color="F2F2F2"/>
              <w:bottom w:val="single" w:sz="4" w:space="0" w:color="F2F2F2"/>
              <w:right w:val="single" w:sz="4" w:space="0" w:color="F2F2F2"/>
            </w:tcBorders>
            <w:shd w:val="clear" w:color="auto" w:fill="auto"/>
            <w:vAlign w:val="center"/>
          </w:tcPr>
          <w:p w14:paraId="2889609A" w14:textId="254D4639" w:rsidR="004E2C4C" w:rsidRPr="00E1628E" w:rsidRDefault="00F24990" w:rsidP="004E2C4C">
            <w:pPr>
              <w:rPr>
                <w:rFonts w:asciiTheme="minorHAnsi" w:hAnsiTheme="minorHAnsi" w:cstheme="minorHAnsi"/>
                <w:color w:val="auto"/>
                <w:sz w:val="22"/>
                <w:szCs w:val="22"/>
              </w:rPr>
            </w:pPr>
            <w:r w:rsidRPr="00E54F6D">
              <w:rPr>
                <w:rFonts w:asciiTheme="minorHAnsi" w:hAnsiTheme="minorHAnsi" w:cstheme="minorHAnsi"/>
                <w:color w:val="auto"/>
                <w:sz w:val="22"/>
                <w:szCs w:val="22"/>
              </w:rPr>
              <w:t>\InternalSignature\</w:t>
            </w:r>
          </w:p>
        </w:tc>
        <w:tc>
          <w:tcPr>
            <w:tcW w:w="1283" w:type="dxa"/>
            <w:tcBorders>
              <w:top w:val="single" w:sz="4" w:space="0" w:color="F2F2F2"/>
              <w:left w:val="single" w:sz="4" w:space="0" w:color="F2F2F2"/>
              <w:bottom w:val="single" w:sz="4" w:space="0" w:color="F2F2F2"/>
              <w:right w:val="single" w:sz="4" w:space="0" w:color="F2F2F2"/>
            </w:tcBorders>
            <w:shd w:val="clear" w:color="auto" w:fill="auto"/>
            <w:vAlign w:val="center"/>
          </w:tcPr>
          <w:p w14:paraId="394BC252" w14:textId="77777777" w:rsidR="004E2C4C" w:rsidRPr="00E1628E" w:rsidRDefault="004E2C4C" w:rsidP="004E2C4C">
            <w:pPr>
              <w:rPr>
                <w:rFonts w:asciiTheme="minorHAnsi" w:hAnsiTheme="minorHAnsi" w:cstheme="minorHAnsi"/>
                <w:color w:val="auto"/>
                <w:sz w:val="22"/>
                <w:szCs w:val="22"/>
              </w:rPr>
            </w:pPr>
            <w:r w:rsidRPr="00E1628E">
              <w:rPr>
                <w:rFonts w:asciiTheme="minorHAnsi" w:hAnsiTheme="minorHAnsi" w:cstheme="minorHAnsi"/>
                <w:color w:val="auto"/>
                <w:sz w:val="22"/>
                <w:szCs w:val="22"/>
              </w:rPr>
              <w:t>Signature:</w:t>
            </w:r>
          </w:p>
        </w:tc>
        <w:tc>
          <w:tcPr>
            <w:tcW w:w="4272" w:type="dxa"/>
            <w:tcBorders>
              <w:top w:val="single" w:sz="4" w:space="0" w:color="F2F2F2"/>
              <w:left w:val="single" w:sz="4" w:space="0" w:color="F2F2F2"/>
              <w:bottom w:val="single" w:sz="4" w:space="0" w:color="F2F2F2"/>
              <w:right w:val="single" w:sz="4" w:space="0" w:color="D9D9D9"/>
            </w:tcBorders>
            <w:shd w:val="clear" w:color="auto" w:fill="auto"/>
            <w:vAlign w:val="center"/>
          </w:tcPr>
          <w:p w14:paraId="2A6A9D7B" w14:textId="013DDD81" w:rsidR="00665EFC" w:rsidRPr="00E1628E" w:rsidRDefault="00F24990" w:rsidP="004E2C4C">
            <w:pPr>
              <w:rPr>
                <w:rFonts w:asciiTheme="minorHAnsi" w:hAnsiTheme="minorHAnsi" w:cstheme="minorHAnsi"/>
                <w:color w:val="auto"/>
                <w:sz w:val="22"/>
                <w:szCs w:val="22"/>
              </w:rPr>
            </w:pPr>
            <w:r w:rsidRPr="00E54F6D">
              <w:rPr>
                <w:rFonts w:asciiTheme="minorHAnsi" w:hAnsiTheme="minorHAnsi" w:cstheme="minorHAnsi"/>
                <w:color w:val="auto"/>
                <w:sz w:val="22"/>
                <w:szCs w:val="22"/>
              </w:rPr>
              <w:t>\InternalSignature3\</w:t>
            </w:r>
          </w:p>
        </w:tc>
      </w:tr>
      <w:tr w:rsidR="004E2C4C" w:rsidRPr="004E2C4C" w14:paraId="2ACABCA9" w14:textId="77777777" w:rsidTr="00193F5A">
        <w:trPr>
          <w:cantSplit/>
          <w:trHeight w:val="1007"/>
        </w:trPr>
        <w:tc>
          <w:tcPr>
            <w:tcW w:w="1278" w:type="dxa"/>
            <w:tcBorders>
              <w:top w:val="single" w:sz="4" w:space="0" w:color="F2F2F2"/>
              <w:left w:val="single" w:sz="4" w:space="0" w:color="D9D9D9"/>
              <w:bottom w:val="single" w:sz="4" w:space="0" w:color="D9D9D9"/>
              <w:right w:val="single" w:sz="4" w:space="0" w:color="F2F2F2"/>
            </w:tcBorders>
            <w:shd w:val="clear" w:color="auto" w:fill="auto"/>
            <w:vAlign w:val="center"/>
          </w:tcPr>
          <w:p w14:paraId="3D7C5981" w14:textId="7CEB34BD" w:rsidR="004E2C4C" w:rsidRPr="00E1628E" w:rsidRDefault="00E54F6D" w:rsidP="004E2C4C">
            <w:pPr>
              <w:rPr>
                <w:rFonts w:asciiTheme="minorHAnsi" w:hAnsiTheme="minorHAnsi" w:cstheme="minorHAnsi"/>
                <w:color w:val="auto"/>
                <w:sz w:val="22"/>
                <w:szCs w:val="22"/>
              </w:rPr>
            </w:pPr>
            <w:r>
              <w:rPr>
                <w:rFonts w:asciiTheme="minorHAnsi" w:hAnsiTheme="minorHAnsi" w:cstheme="minorHAnsi"/>
                <w:color w:val="auto"/>
                <w:sz w:val="22"/>
                <w:szCs w:val="22"/>
              </w:rPr>
              <w:t>Signature:</w:t>
            </w:r>
          </w:p>
        </w:tc>
        <w:tc>
          <w:tcPr>
            <w:tcW w:w="3397" w:type="dxa"/>
            <w:tcBorders>
              <w:top w:val="single" w:sz="4" w:space="0" w:color="F2F2F2"/>
              <w:left w:val="single" w:sz="4" w:space="0" w:color="F2F2F2"/>
              <w:bottom w:val="single" w:sz="4" w:space="0" w:color="D9D9D9"/>
              <w:right w:val="single" w:sz="4" w:space="0" w:color="F2F2F2"/>
            </w:tcBorders>
            <w:shd w:val="clear" w:color="auto" w:fill="auto"/>
            <w:vAlign w:val="center"/>
          </w:tcPr>
          <w:p w14:paraId="66827756" w14:textId="6E6B6AAD" w:rsidR="004E2C4C" w:rsidRPr="00E1628E" w:rsidRDefault="003C5724" w:rsidP="004E2C4C">
            <w:pPr>
              <w:rPr>
                <w:rFonts w:asciiTheme="minorHAnsi" w:hAnsiTheme="minorHAnsi" w:cstheme="minorHAnsi"/>
                <w:color w:val="auto"/>
                <w:sz w:val="22"/>
                <w:szCs w:val="22"/>
              </w:rPr>
            </w:pPr>
            <w:r>
              <w:rPr>
                <w:rFonts w:asciiTheme="minorHAnsi" w:hAnsiTheme="minorHAnsi" w:cstheme="minorHAnsi"/>
                <w:color w:val="auto"/>
                <w:sz w:val="22"/>
                <w:szCs w:val="22"/>
              </w:rPr>
              <w:t>\InternalSignDate\</w:t>
            </w:r>
          </w:p>
        </w:tc>
        <w:tc>
          <w:tcPr>
            <w:tcW w:w="1283" w:type="dxa"/>
            <w:tcBorders>
              <w:top w:val="single" w:sz="4" w:space="0" w:color="F2F2F2"/>
              <w:left w:val="single" w:sz="4" w:space="0" w:color="F2F2F2"/>
              <w:bottom w:val="single" w:sz="4" w:space="0" w:color="D9D9D9"/>
              <w:right w:val="single" w:sz="4" w:space="0" w:color="F2F2F2"/>
            </w:tcBorders>
            <w:shd w:val="clear" w:color="auto" w:fill="auto"/>
            <w:vAlign w:val="center"/>
          </w:tcPr>
          <w:p w14:paraId="36291767" w14:textId="7520E927" w:rsidR="004E2C4C" w:rsidRPr="00E1628E" w:rsidRDefault="00E54F6D" w:rsidP="004E2C4C">
            <w:pPr>
              <w:rPr>
                <w:rFonts w:asciiTheme="minorHAnsi" w:hAnsiTheme="minorHAnsi" w:cstheme="minorHAnsi"/>
                <w:color w:val="auto"/>
                <w:sz w:val="22"/>
                <w:szCs w:val="22"/>
              </w:rPr>
            </w:pPr>
            <w:r>
              <w:rPr>
                <w:rFonts w:asciiTheme="minorHAnsi" w:hAnsiTheme="minorHAnsi" w:cstheme="minorHAnsi"/>
                <w:color w:val="auto"/>
                <w:sz w:val="22"/>
                <w:szCs w:val="22"/>
              </w:rPr>
              <w:t>Signature:</w:t>
            </w:r>
          </w:p>
        </w:tc>
        <w:tc>
          <w:tcPr>
            <w:tcW w:w="4272" w:type="dxa"/>
            <w:tcBorders>
              <w:top w:val="single" w:sz="4" w:space="0" w:color="F2F2F2"/>
              <w:left w:val="single" w:sz="4" w:space="0" w:color="F2F2F2"/>
              <w:bottom w:val="single" w:sz="4" w:space="0" w:color="D9D9D9"/>
              <w:right w:val="single" w:sz="4" w:space="0" w:color="D9D9D9"/>
            </w:tcBorders>
            <w:shd w:val="clear" w:color="auto" w:fill="auto"/>
            <w:vAlign w:val="center"/>
          </w:tcPr>
          <w:p w14:paraId="6173993E" w14:textId="343A5B06" w:rsidR="004E2C4C" w:rsidRPr="00E1628E" w:rsidRDefault="003C5724" w:rsidP="004E2C4C">
            <w:pPr>
              <w:rPr>
                <w:rFonts w:asciiTheme="minorHAnsi" w:hAnsiTheme="minorHAnsi" w:cstheme="minorHAnsi"/>
                <w:color w:val="auto"/>
                <w:sz w:val="22"/>
                <w:szCs w:val="22"/>
              </w:rPr>
            </w:pPr>
            <w:r>
              <w:rPr>
                <w:rFonts w:asciiTheme="minorHAnsi" w:hAnsiTheme="minorHAnsi" w:cstheme="minorHAnsi"/>
                <w:color w:val="auto"/>
                <w:sz w:val="22"/>
                <w:szCs w:val="22"/>
              </w:rPr>
              <w:t>\InternalSignDate3\</w:t>
            </w:r>
          </w:p>
        </w:tc>
      </w:tr>
    </w:tbl>
    <w:p w14:paraId="3043FE9E" w14:textId="77777777" w:rsidR="00E5133A" w:rsidRDefault="00E5133A">
      <w:pPr>
        <w:rPr>
          <w:rFonts w:asciiTheme="minorHAnsi" w:hAnsiTheme="minorHAnsi" w:cstheme="minorHAnsi"/>
        </w:rPr>
      </w:pPr>
    </w:p>
    <w:p w14:paraId="4E47D399" w14:textId="7B49FF9D" w:rsidR="00AB6373" w:rsidRPr="00AB6373" w:rsidRDefault="00AB6373">
      <w:pPr>
        <w:rPr>
          <w:rFonts w:asciiTheme="minorHAnsi" w:hAnsiTheme="minorHAnsi" w:cstheme="minorHAnsi"/>
          <w:sz w:val="22"/>
          <w:szCs w:val="22"/>
        </w:rPr>
      </w:pPr>
      <w:r w:rsidRPr="00AB6373">
        <w:rPr>
          <w:rFonts w:asciiTheme="minorHAnsi" w:hAnsiTheme="minorHAnsi" w:cstheme="minorHAnsi"/>
          <w:sz w:val="22"/>
          <w:szCs w:val="22"/>
        </w:rPr>
        <w:t xml:space="preserve">Agreement Effective Date: </w:t>
      </w:r>
      <w:r w:rsidRPr="002C1B37">
        <w:rPr>
          <w:rFonts w:asciiTheme="minorHAnsi" w:hAnsiTheme="minorHAnsi" w:cstheme="minorHAnsi"/>
          <w:color w:val="FFFFFF" w:themeColor="background1"/>
          <w:sz w:val="22"/>
          <w:szCs w:val="22"/>
        </w:rPr>
        <w:t>\AgreementEffectiveStartDate\</w:t>
      </w:r>
    </w:p>
    <w:sectPr w:rsidR="00AB6373" w:rsidRPr="00AB6373" w:rsidSect="004E2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7E8C"/>
    <w:multiLevelType w:val="multilevel"/>
    <w:tmpl w:val="464C6924"/>
    <w:lvl w:ilvl="0">
      <w:start w:val="1"/>
      <w:numFmt w:val="decimal"/>
      <w:lvlText w:val="%1."/>
      <w:lvlJc w:val="left"/>
      <w:pPr>
        <w:ind w:left="0" w:firstLine="720"/>
      </w:pPr>
      <w:rPr>
        <w:rFonts w:asciiTheme="minorHAnsi" w:eastAsia="Times New Roman" w:hAnsiTheme="minorHAnsi" w:cstheme="minorHAnsi" w:hint="default"/>
        <w:b w:val="0"/>
        <w:i w:val="0"/>
        <w:sz w:val="22"/>
        <w:szCs w:val="22"/>
      </w:rPr>
    </w:lvl>
    <w:lvl w:ilvl="1">
      <w:start w:val="1"/>
      <w:numFmt w:val="lowerRoman"/>
      <w:lvlText w:val="(%2)"/>
      <w:lvlJc w:val="left"/>
      <w:pPr>
        <w:ind w:left="0" w:firstLine="1440"/>
      </w:pPr>
      <w:rPr>
        <w:rFonts w:asciiTheme="minorHAnsi" w:eastAsia="Times New Roman" w:hAnsiTheme="minorHAnsi" w:cstheme="minorHAnsi" w:hint="default"/>
        <w:b w:val="0"/>
        <w:i w:val="0"/>
        <w:sz w:val="22"/>
        <w:szCs w:val="22"/>
      </w:rPr>
    </w:lvl>
    <w:lvl w:ilvl="2">
      <w:start w:val="1"/>
      <w:numFmt w:val="lowerRoman"/>
      <w:lvlText w:val="(%3)"/>
      <w:lvlJc w:val="left"/>
      <w:pPr>
        <w:ind w:left="0" w:firstLine="2160"/>
      </w:pPr>
      <w:rPr>
        <w:rFonts w:ascii="Times New Roman" w:eastAsia="Times New Roman" w:hAnsi="Times New Roman" w:cs="Times New Roman"/>
        <w:b w:val="0"/>
        <w:i w:val="0"/>
        <w:sz w:val="24"/>
        <w:szCs w:val="24"/>
      </w:rPr>
    </w:lvl>
    <w:lvl w:ilvl="3">
      <w:start w:val="1"/>
      <w:numFmt w:val="upperLetter"/>
      <w:lvlText w:val="(%4)"/>
      <w:lvlJc w:val="left"/>
      <w:pPr>
        <w:ind w:left="0" w:firstLine="2880"/>
      </w:pPr>
      <w:rPr>
        <w:rFonts w:ascii="Times New Roman" w:eastAsia="Times New Roman" w:hAnsi="Times New Roman" w:cs="Times New Roman"/>
        <w:b w:val="0"/>
        <w:i w:val="0"/>
        <w:sz w:val="24"/>
        <w:szCs w:val="24"/>
      </w:rPr>
    </w:lvl>
    <w:lvl w:ilvl="4">
      <w:start w:val="1"/>
      <w:numFmt w:val="decimal"/>
      <w:lvlText w:val="(%5)"/>
      <w:lvlJc w:val="left"/>
      <w:pPr>
        <w:ind w:left="0" w:firstLine="3600"/>
      </w:pPr>
      <w:rPr>
        <w:rFonts w:ascii="Times New Roman" w:eastAsia="Times New Roman" w:hAnsi="Times New Roman" w:cs="Times New Roman"/>
        <w:b w:val="0"/>
        <w:i w:val="0"/>
        <w:sz w:val="24"/>
        <w:szCs w:val="24"/>
      </w:rPr>
    </w:lvl>
    <w:lvl w:ilvl="5">
      <w:start w:val="1"/>
      <w:numFmt w:val="decimal"/>
      <w:lvlText w:val="(%6)"/>
      <w:lvlJc w:val="left"/>
      <w:pPr>
        <w:ind w:left="3600" w:hanging="720"/>
      </w:pPr>
      <w:rPr>
        <w:rFonts w:ascii="Times New Roman" w:eastAsia="Times New Roman" w:hAnsi="Times New Roman" w:cs="Times New Roman"/>
        <w:b/>
        <w:i w:val="0"/>
        <w:sz w:val="24"/>
        <w:szCs w:val="24"/>
      </w:r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79333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4C"/>
    <w:rsid w:val="00076117"/>
    <w:rsid w:val="0009011E"/>
    <w:rsid w:val="00095A54"/>
    <w:rsid w:val="000F0046"/>
    <w:rsid w:val="001037EB"/>
    <w:rsid w:val="00193F5A"/>
    <w:rsid w:val="00196612"/>
    <w:rsid w:val="002C1B37"/>
    <w:rsid w:val="003A1A46"/>
    <w:rsid w:val="003B019E"/>
    <w:rsid w:val="003C5724"/>
    <w:rsid w:val="003E2C25"/>
    <w:rsid w:val="003E409A"/>
    <w:rsid w:val="00430971"/>
    <w:rsid w:val="004E2C4C"/>
    <w:rsid w:val="00510169"/>
    <w:rsid w:val="005B0D70"/>
    <w:rsid w:val="005F1A58"/>
    <w:rsid w:val="00655AF1"/>
    <w:rsid w:val="00665EFC"/>
    <w:rsid w:val="00715F7D"/>
    <w:rsid w:val="0072380F"/>
    <w:rsid w:val="007A6B3C"/>
    <w:rsid w:val="007C0B98"/>
    <w:rsid w:val="007D3247"/>
    <w:rsid w:val="0082040F"/>
    <w:rsid w:val="0089018E"/>
    <w:rsid w:val="00A027CC"/>
    <w:rsid w:val="00A06F64"/>
    <w:rsid w:val="00A4211F"/>
    <w:rsid w:val="00A82CFB"/>
    <w:rsid w:val="00A84AFB"/>
    <w:rsid w:val="00AA3E5D"/>
    <w:rsid w:val="00AB6373"/>
    <w:rsid w:val="00AF6D47"/>
    <w:rsid w:val="00B8650F"/>
    <w:rsid w:val="00B96B64"/>
    <w:rsid w:val="00BA3CAE"/>
    <w:rsid w:val="00BC226C"/>
    <w:rsid w:val="00BC5A54"/>
    <w:rsid w:val="00CD36F1"/>
    <w:rsid w:val="00DB1BE7"/>
    <w:rsid w:val="00DE70D8"/>
    <w:rsid w:val="00E1628E"/>
    <w:rsid w:val="00E5133A"/>
    <w:rsid w:val="00E51CEB"/>
    <w:rsid w:val="00E54F6D"/>
    <w:rsid w:val="00EA4858"/>
    <w:rsid w:val="00F2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B32B"/>
  <w15:chartTrackingRefBased/>
  <w15:docId w15:val="{E4DBC7DB-DAAC-43C7-B4E1-95E07FB9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2C4C"/>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 w:type="paragraph" w:styleId="Heading1">
    <w:name w:val="heading 1"/>
    <w:basedOn w:val="Normal"/>
    <w:next w:val="Normal"/>
    <w:link w:val="Heading1Char"/>
    <w:rsid w:val="004E2C4C"/>
    <w:pPr>
      <w:spacing w:after="240"/>
      <w:ind w:firstLine="720"/>
      <w:jc w:val="both"/>
      <w:outlineLvl w:val="0"/>
    </w:pPr>
    <w:rPr>
      <w:sz w:val="22"/>
      <w:szCs w:val="22"/>
    </w:rPr>
  </w:style>
  <w:style w:type="paragraph" w:styleId="Heading2">
    <w:name w:val="heading 2"/>
    <w:basedOn w:val="Normal"/>
    <w:next w:val="Normal"/>
    <w:link w:val="Heading2Char"/>
    <w:rsid w:val="004E2C4C"/>
    <w:pPr>
      <w:spacing w:after="240"/>
      <w:ind w:firstLine="1440"/>
      <w:jc w:val="both"/>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C4C"/>
    <w:rPr>
      <w:rFonts w:ascii="Times New Roman" w:eastAsia="Times New Roman" w:hAnsi="Times New Roman" w:cs="Times New Roman"/>
      <w:color w:val="000000"/>
      <w:kern w:val="0"/>
      <w14:ligatures w14:val="none"/>
    </w:rPr>
  </w:style>
  <w:style w:type="character" w:customStyle="1" w:styleId="Heading2Char">
    <w:name w:val="Heading 2 Char"/>
    <w:basedOn w:val="DefaultParagraphFont"/>
    <w:link w:val="Heading2"/>
    <w:rsid w:val="004E2C4C"/>
    <w:rPr>
      <w:rFonts w:ascii="Times New Roman" w:eastAsia="Times New Roman" w:hAnsi="Times New Roman" w:cs="Times New Roman"/>
      <w:color w:val="000000"/>
      <w:kern w:val="0"/>
      <w14:ligatures w14:val="none"/>
    </w:rPr>
  </w:style>
  <w:style w:type="paragraph" w:styleId="Title">
    <w:name w:val="Title"/>
    <w:basedOn w:val="Normal"/>
    <w:next w:val="Normal"/>
    <w:link w:val="TitleChar"/>
    <w:rsid w:val="004E2C4C"/>
    <w:pPr>
      <w:keepNext/>
      <w:keepLines/>
      <w:spacing w:after="240"/>
      <w:jc w:val="center"/>
    </w:pPr>
    <w:rPr>
      <w:b/>
      <w:sz w:val="22"/>
      <w:szCs w:val="22"/>
    </w:rPr>
  </w:style>
  <w:style w:type="character" w:customStyle="1" w:styleId="TitleChar">
    <w:name w:val="Title Char"/>
    <w:basedOn w:val="DefaultParagraphFont"/>
    <w:link w:val="Title"/>
    <w:rsid w:val="004E2C4C"/>
    <w:rPr>
      <w:rFonts w:ascii="Times New Roman" w:eastAsia="Times New Roman" w:hAnsi="Times New Roman" w:cs="Times New Roman"/>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4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4283</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Shelor</dc:creator>
  <cp:keywords/>
  <dc:description/>
  <cp:lastModifiedBy>Chris Shelor</cp:lastModifiedBy>
  <cp:revision>37</cp:revision>
  <dcterms:created xsi:type="dcterms:W3CDTF">2023-06-30T15:54:00Z</dcterms:created>
  <dcterms:modified xsi:type="dcterms:W3CDTF">2024-07-24T15:13:00Z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d036a-8226-4d46-bd5a-fdedc2de639b_Enabled">
    <vt:lpwstr>true</vt:lpwstr>
  </property>
  <property fmtid="{D5CDD505-2E9C-101B-9397-08002B2CF9AE}" pid="3" name="MSIP_Label_3dcd036a-8226-4d46-bd5a-fdedc2de639b_SetDate">
    <vt:lpwstr>2024-07-16T04:57:58Z</vt:lpwstr>
  </property>
  <property fmtid="{D5CDD505-2E9C-101B-9397-08002B2CF9AE}" pid="4" name="MSIP_Label_3dcd036a-8226-4d46-bd5a-fdedc2de639b_Method">
    <vt:lpwstr>Privileged</vt:lpwstr>
  </property>
  <property fmtid="{D5CDD505-2E9C-101B-9397-08002B2CF9AE}" pid="5" name="MSIP_Label_3dcd036a-8226-4d46-bd5a-fdedc2de639b_Name">
    <vt:lpwstr>Public</vt:lpwstr>
  </property>
  <property fmtid="{D5CDD505-2E9C-101B-9397-08002B2CF9AE}" pid="6" name="MSIP_Label_3dcd036a-8226-4d46-bd5a-fdedc2de639b_SiteId">
    <vt:lpwstr>3a41ae53-fb35-4431-be7b-a0b3e1aee3c0</vt:lpwstr>
  </property>
  <property fmtid="{D5CDD505-2E9C-101B-9397-08002B2CF9AE}" pid="7" name="MSIP_Label_3dcd036a-8226-4d46-bd5a-fdedc2de639b_ActionId">
    <vt:lpwstr>f9795539-c4ee-4455-938e-2fbd04ec0440</vt:lpwstr>
  </property>
  <property fmtid="{D5CDD505-2E9C-101B-9397-08002B2CF9AE}" pid="8" name="MSIP_Label_3dcd036a-8226-4d46-bd5a-fdedc2de639b_ContentBits">
    <vt:lpwstr>0</vt:lpwstr>
  </property>
</Properties>
</file>